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B5CAE"/>
          <w:left w:val="single" w:sz="4" w:space="0" w:color="0B5CAE"/>
          <w:bottom w:val="single" w:sz="4" w:space="0" w:color="0B5CAE"/>
          <w:right w:val="single" w:sz="4" w:space="0" w:color="0B5CAE"/>
          <w:insideH w:val="single" w:sz="4" w:space="0" w:color="0B5CAE"/>
          <w:insideV w:val="single" w:sz="4" w:space="0" w:color="0B5CAE"/>
        </w:tblBorders>
        <w:tblLook w:val="04A0" w:firstRow="1" w:lastRow="0" w:firstColumn="1" w:lastColumn="0" w:noHBand="0" w:noVBand="1"/>
      </w:tblPr>
      <w:tblGrid>
        <w:gridCol w:w="3696"/>
        <w:gridCol w:w="5880"/>
      </w:tblGrid>
      <w:tr w:rsidR="00477021" w:rsidTr="000D4B72">
        <w:trPr>
          <w:trHeight w:val="432"/>
        </w:trPr>
        <w:tc>
          <w:tcPr>
            <w:tcW w:w="3369" w:type="dxa"/>
            <w:vMerge w:val="restart"/>
            <w:vAlign w:val="center"/>
          </w:tcPr>
          <w:p w:rsidR="00477021" w:rsidRPr="00477021" w:rsidRDefault="00557A53" w:rsidP="004770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7032B9" wp14:editId="3356D43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19050</wp:posOffset>
                  </wp:positionV>
                  <wp:extent cx="2202180" cy="193040"/>
                  <wp:effectExtent l="0" t="0" r="7620" b="0"/>
                  <wp:wrapSquare wrapText="bothSides"/>
                  <wp:docPr id="1" name="Picture 1" descr="http://ftf/teams/communication/First%20Things%20First/ftf_horiz_clr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tf/teams/communication/First%20Things%20First/ftf_horiz_clr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2F096B" w:rsidP="0047702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4B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COURSE DESCRIPTION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7B7B44" w:rsidP="002F09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Statewide Communications Plan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7B7B44" w:rsidP="0047702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September</w:t>
            </w:r>
            <w:r w:rsidR="008667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2016</w:t>
            </w:r>
          </w:p>
        </w:tc>
      </w:tr>
    </w:tbl>
    <w:p w:rsidR="00A2586A" w:rsidRDefault="00A2586A" w:rsidP="002B1131">
      <w:pPr>
        <w:pStyle w:val="NoSpacing"/>
        <w:jc w:val="center"/>
        <w:rPr>
          <w:b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Description</w:t>
      </w:r>
      <w:r w:rsidR="00423652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A2586A" w:rsidRDefault="00A2586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604A97" w:rsidRDefault="00AF65CA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the word out about Early Childhood Development and Health is critical component in building an early childhood system in Arizona.  In this cou</w:t>
      </w:r>
      <w:r w:rsidR="00704FA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 w:rsidR="00704FA0">
        <w:rPr>
          <w:rFonts w:ascii="Arial" w:hAnsi="Arial" w:cs="Arial"/>
          <w:sz w:val="24"/>
          <w:szCs w:val="24"/>
        </w:rPr>
        <w:t xml:space="preserve"> First Things First’s new Regional Council Members</w:t>
      </w:r>
      <w:r>
        <w:rPr>
          <w:rFonts w:ascii="Arial" w:hAnsi="Arial" w:cs="Arial"/>
          <w:sz w:val="24"/>
          <w:szCs w:val="24"/>
        </w:rPr>
        <w:t xml:space="preserve"> will</w:t>
      </w:r>
      <w:r w:rsidR="00AC7466">
        <w:rPr>
          <w:rFonts w:ascii="Arial" w:hAnsi="Arial" w:cs="Arial"/>
          <w:sz w:val="24"/>
          <w:szCs w:val="24"/>
        </w:rPr>
        <w:t xml:space="preserve"> </w:t>
      </w:r>
      <w:r w:rsidR="00CB11E1">
        <w:rPr>
          <w:rFonts w:ascii="Arial" w:hAnsi="Arial" w:cs="Arial"/>
          <w:sz w:val="24"/>
          <w:szCs w:val="24"/>
        </w:rPr>
        <w:t xml:space="preserve">increase their knowledge of </w:t>
      </w:r>
      <w:r w:rsidR="00A21323">
        <w:rPr>
          <w:rFonts w:ascii="Arial" w:hAnsi="Arial" w:cs="Arial"/>
          <w:sz w:val="24"/>
          <w:szCs w:val="24"/>
        </w:rPr>
        <w:t xml:space="preserve">the </w:t>
      </w:r>
      <w:r w:rsidR="00CB11E1">
        <w:rPr>
          <w:rFonts w:ascii="Arial" w:hAnsi="Arial" w:cs="Arial"/>
          <w:sz w:val="24"/>
          <w:szCs w:val="24"/>
        </w:rPr>
        <w:t>community awareness and community engagement</w:t>
      </w:r>
      <w:r>
        <w:rPr>
          <w:rFonts w:ascii="Arial" w:hAnsi="Arial" w:cs="Arial"/>
          <w:sz w:val="24"/>
          <w:szCs w:val="24"/>
        </w:rPr>
        <w:t xml:space="preserve"> strategies implemented by FTF</w:t>
      </w:r>
      <w:r w:rsidR="00CB11E1">
        <w:rPr>
          <w:rFonts w:ascii="Arial" w:hAnsi="Arial" w:cs="Arial"/>
          <w:sz w:val="24"/>
          <w:szCs w:val="24"/>
        </w:rPr>
        <w:t>.</w:t>
      </w:r>
    </w:p>
    <w:p w:rsidR="00035830" w:rsidRDefault="0003583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28042A" w:rsidRDefault="002F096B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Goal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8042A" w:rsidRPr="002F096B" w:rsidRDefault="0028042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AC7466" w:rsidRPr="00AC7466" w:rsidRDefault="008C2BDF" w:rsidP="00AC746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To increase Council Members understanding of the importance of </w:t>
      </w:r>
      <w:r w:rsidR="00AF65CA">
        <w:rPr>
          <w:rFonts w:ascii="Arial" w:hAnsi="Arial" w:cs="Arial"/>
          <w:sz w:val="24"/>
          <w:szCs w:val="24"/>
        </w:rPr>
        <w:t>increasing</w:t>
      </w:r>
      <w:r>
        <w:rPr>
          <w:rFonts w:ascii="Arial" w:hAnsi="Arial" w:cs="Arial"/>
          <w:sz w:val="24"/>
          <w:szCs w:val="24"/>
        </w:rPr>
        <w:t xml:space="preserve"> community awareness and </w:t>
      </w:r>
      <w:r w:rsidR="00AF65CA">
        <w:rPr>
          <w:rFonts w:ascii="Arial" w:hAnsi="Arial" w:cs="Arial"/>
          <w:sz w:val="24"/>
          <w:szCs w:val="24"/>
        </w:rPr>
        <w:t xml:space="preserve">building </w:t>
      </w:r>
      <w:r>
        <w:rPr>
          <w:rFonts w:ascii="Arial" w:hAnsi="Arial" w:cs="Arial"/>
          <w:sz w:val="24"/>
          <w:szCs w:val="24"/>
        </w:rPr>
        <w:t xml:space="preserve">community engagement in early childhood </w:t>
      </w:r>
      <w:r w:rsidR="00CB11E1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>and development.</w:t>
      </w:r>
      <w:proofErr w:type="gramEnd"/>
    </w:p>
    <w:p w:rsidR="00704FA0" w:rsidRDefault="00704FA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704FA0" w:rsidRPr="002F096B" w:rsidRDefault="00704FA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Learning Objectives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Pr="000D4B72" w:rsidRDefault="002F096B" w:rsidP="002B1131">
      <w:pPr>
        <w:pStyle w:val="NoSpacing"/>
        <w:rPr>
          <w:rFonts w:ascii="Arial" w:hAnsi="Arial" w:cs="Arial"/>
          <w:color w:val="22A239"/>
          <w:sz w:val="24"/>
          <w:szCs w:val="24"/>
        </w:rPr>
      </w:pPr>
      <w:r w:rsidRPr="000D4B72">
        <w:rPr>
          <w:rFonts w:ascii="Arial" w:hAnsi="Arial" w:cs="Arial"/>
          <w:color w:val="22A239"/>
          <w:sz w:val="24"/>
          <w:szCs w:val="24"/>
        </w:rPr>
        <w:t>By applying what you learn in this course, you should be able to:</w:t>
      </w:r>
    </w:p>
    <w:p w:rsidR="002F096B" w:rsidRPr="002F096B" w:rsidRDefault="002F096B" w:rsidP="002B1131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AC7466" w:rsidRPr="00C46301" w:rsidRDefault="00AD2377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the </w:t>
      </w:r>
      <w:r w:rsidR="00A21323">
        <w:rPr>
          <w:rFonts w:ascii="Arial" w:hAnsi="Arial" w:cs="Arial"/>
          <w:sz w:val="24"/>
        </w:rPr>
        <w:t>three</w:t>
      </w:r>
      <w:bookmarkStart w:id="0" w:name="_GoBack"/>
      <w:bookmarkEnd w:id="0"/>
      <w:r>
        <w:rPr>
          <w:rFonts w:ascii="Arial" w:hAnsi="Arial" w:cs="Arial"/>
          <w:sz w:val="24"/>
        </w:rPr>
        <w:t xml:space="preserve"> goals for FTF</w:t>
      </w:r>
      <w:r w:rsidR="00A21323">
        <w:rPr>
          <w:rFonts w:ascii="Arial" w:hAnsi="Arial" w:cs="Arial"/>
          <w:sz w:val="24"/>
        </w:rPr>
        <w:t>’s</w:t>
      </w:r>
      <w:r>
        <w:rPr>
          <w:rFonts w:ascii="Arial" w:hAnsi="Arial" w:cs="Arial"/>
          <w:sz w:val="24"/>
        </w:rPr>
        <w:t xml:space="preserve"> Communication plan</w:t>
      </w:r>
      <w:r w:rsidR="00FE6338">
        <w:rPr>
          <w:rFonts w:ascii="Arial" w:hAnsi="Arial" w:cs="Arial"/>
          <w:sz w:val="24"/>
        </w:rPr>
        <w:t xml:space="preserve"> </w:t>
      </w:r>
    </w:p>
    <w:p w:rsidR="00AC7466" w:rsidRDefault="00AD2377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Recognize the components for building public awareness</w:t>
      </w:r>
    </w:p>
    <w:p w:rsidR="00AD2377" w:rsidRDefault="00A21323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Communicate </w:t>
      </w:r>
      <w:r w:rsidR="00AD2377">
        <w:rPr>
          <w:rFonts w:ascii="Arial" w:hAnsi="Arial" w:cs="Arial"/>
          <w:sz w:val="24"/>
        </w:rPr>
        <w:t>FTF</w:t>
      </w:r>
      <w:r>
        <w:rPr>
          <w:rFonts w:ascii="Arial" w:hAnsi="Arial" w:cs="Arial"/>
          <w:sz w:val="24"/>
        </w:rPr>
        <w:t>’s three core</w:t>
      </w:r>
      <w:r w:rsidR="00AD2377">
        <w:rPr>
          <w:rFonts w:ascii="Arial" w:hAnsi="Arial" w:cs="Arial"/>
          <w:sz w:val="24"/>
        </w:rPr>
        <w:t xml:space="preserve"> messages</w:t>
      </w:r>
    </w:p>
    <w:p w:rsidR="00AD2377" w:rsidRDefault="00AD2377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Explain </w:t>
      </w:r>
      <w:r w:rsidR="00AF65CA">
        <w:rPr>
          <w:rFonts w:ascii="Arial" w:hAnsi="Arial" w:cs="Arial"/>
          <w:sz w:val="24"/>
        </w:rPr>
        <w:t xml:space="preserve">FTF’s </w:t>
      </w:r>
      <w:r>
        <w:rPr>
          <w:rFonts w:ascii="Arial" w:hAnsi="Arial" w:cs="Arial"/>
          <w:sz w:val="24"/>
        </w:rPr>
        <w:t>community outreach tactics</w:t>
      </w:r>
    </w:p>
    <w:p w:rsidR="00AD2377" w:rsidRPr="00C46301" w:rsidRDefault="00A21323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Describe the three </w:t>
      </w:r>
      <w:r w:rsidR="00AD2377">
        <w:rPr>
          <w:rFonts w:ascii="Arial" w:hAnsi="Arial" w:cs="Arial"/>
          <w:sz w:val="24"/>
        </w:rPr>
        <w:t xml:space="preserve">tiers of </w:t>
      </w:r>
      <w:r w:rsidR="008C2BDF">
        <w:rPr>
          <w:rFonts w:ascii="Arial" w:hAnsi="Arial" w:cs="Arial"/>
          <w:sz w:val="24"/>
        </w:rPr>
        <w:t xml:space="preserve">community </w:t>
      </w:r>
      <w:r w:rsidR="00AD2377">
        <w:rPr>
          <w:rFonts w:ascii="Arial" w:hAnsi="Arial" w:cs="Arial"/>
          <w:sz w:val="24"/>
        </w:rPr>
        <w:t>engagement</w:t>
      </w:r>
    </w:p>
    <w:p w:rsidR="002F096B" w:rsidRPr="002F096B" w:rsidRDefault="002F096B" w:rsidP="003464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F096B" w:rsidRP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Time Allotted</w:t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7B7B44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 – 1.5 hours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Competencies: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2A54BF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Systems Building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8A17BF" w:rsidRDefault="0034645D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Course created:</w:t>
      </w: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8A17BF" w:rsidRDefault="008A17BF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</w:p>
    <w:p w:rsidR="00557A53" w:rsidRPr="008A17BF" w:rsidRDefault="001543FA" w:rsidP="002B1131">
      <w:pPr>
        <w:pStyle w:val="NoSpacing"/>
        <w:rPr>
          <w:rFonts w:ascii="Arial" w:hAnsi="Arial" w:cs="Arial"/>
          <w:sz w:val="24"/>
          <w:szCs w:val="24"/>
        </w:rPr>
      </w:pPr>
      <w:r w:rsidRPr="008A17BF">
        <w:rPr>
          <w:rFonts w:ascii="Arial" w:hAnsi="Arial" w:cs="Arial"/>
          <w:sz w:val="24"/>
          <w:szCs w:val="24"/>
        </w:rPr>
        <w:t>In-hous</w:t>
      </w:r>
      <w:r w:rsidR="008A17BF" w:rsidRPr="008A17BF">
        <w:rPr>
          <w:rFonts w:ascii="Arial" w:hAnsi="Arial" w:cs="Arial"/>
          <w:sz w:val="24"/>
          <w:szCs w:val="24"/>
        </w:rPr>
        <w:t>e</w:t>
      </w:r>
      <w:r w:rsidR="007E1B3E">
        <w:rPr>
          <w:rFonts w:ascii="Arial" w:hAnsi="Arial" w:cs="Arial"/>
          <w:sz w:val="24"/>
          <w:szCs w:val="24"/>
        </w:rPr>
        <w:t xml:space="preserve">, designed to be </w:t>
      </w:r>
      <w:r w:rsidR="00AC7466">
        <w:rPr>
          <w:rFonts w:ascii="Arial" w:hAnsi="Arial" w:cs="Arial"/>
          <w:sz w:val="24"/>
          <w:szCs w:val="24"/>
        </w:rPr>
        <w:t>facilitated in classroom</w:t>
      </w:r>
      <w:r w:rsidR="007B7B44">
        <w:rPr>
          <w:rFonts w:ascii="Arial" w:hAnsi="Arial" w:cs="Arial"/>
          <w:sz w:val="24"/>
          <w:szCs w:val="24"/>
        </w:rPr>
        <w:t xml:space="preserve"> or virtual</w:t>
      </w:r>
      <w:r w:rsidR="00AC7466">
        <w:rPr>
          <w:rFonts w:ascii="Arial" w:hAnsi="Arial" w:cs="Arial"/>
          <w:sz w:val="24"/>
          <w:szCs w:val="24"/>
        </w:rPr>
        <w:t xml:space="preserve"> environment</w:t>
      </w:r>
      <w:r w:rsidR="007B7B44">
        <w:rPr>
          <w:rFonts w:ascii="Arial" w:hAnsi="Arial" w:cs="Arial"/>
          <w:sz w:val="24"/>
          <w:szCs w:val="24"/>
        </w:rPr>
        <w:t>s</w:t>
      </w:r>
    </w:p>
    <w:sectPr w:rsidR="00557A53" w:rsidRPr="008A17BF" w:rsidSect="0028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3F6"/>
    <w:multiLevelType w:val="hybridMultilevel"/>
    <w:tmpl w:val="3954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1489"/>
    <w:multiLevelType w:val="hybridMultilevel"/>
    <w:tmpl w:val="FAB47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77F12"/>
    <w:multiLevelType w:val="hybridMultilevel"/>
    <w:tmpl w:val="774E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41FBB"/>
    <w:multiLevelType w:val="hybridMultilevel"/>
    <w:tmpl w:val="E094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37B60"/>
    <w:multiLevelType w:val="hybridMultilevel"/>
    <w:tmpl w:val="D40A37EC"/>
    <w:lvl w:ilvl="0" w:tplc="B1F22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06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C5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A3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03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4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6D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B6F21"/>
    <w:multiLevelType w:val="hybridMultilevel"/>
    <w:tmpl w:val="437C5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E63F8"/>
    <w:multiLevelType w:val="hybridMultilevel"/>
    <w:tmpl w:val="B6462D74"/>
    <w:lvl w:ilvl="0" w:tplc="B1F22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91E9F"/>
    <w:multiLevelType w:val="hybridMultilevel"/>
    <w:tmpl w:val="FA901BD0"/>
    <w:lvl w:ilvl="0" w:tplc="040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52"/>
    <w:rsid w:val="00035830"/>
    <w:rsid w:val="000D4B72"/>
    <w:rsid w:val="00122057"/>
    <w:rsid w:val="00124F39"/>
    <w:rsid w:val="001449C3"/>
    <w:rsid w:val="001543FA"/>
    <w:rsid w:val="00184A3A"/>
    <w:rsid w:val="00185875"/>
    <w:rsid w:val="001960F2"/>
    <w:rsid w:val="001D6B1C"/>
    <w:rsid w:val="001F191A"/>
    <w:rsid w:val="0028042A"/>
    <w:rsid w:val="0028593B"/>
    <w:rsid w:val="002A54BF"/>
    <w:rsid w:val="002B1131"/>
    <w:rsid w:val="002F096B"/>
    <w:rsid w:val="00330E8C"/>
    <w:rsid w:val="0034645D"/>
    <w:rsid w:val="003B698C"/>
    <w:rsid w:val="004029AF"/>
    <w:rsid w:val="00423652"/>
    <w:rsid w:val="00445DEA"/>
    <w:rsid w:val="00477021"/>
    <w:rsid w:val="00557A53"/>
    <w:rsid w:val="005F31C3"/>
    <w:rsid w:val="00604A97"/>
    <w:rsid w:val="00661C89"/>
    <w:rsid w:val="006659A9"/>
    <w:rsid w:val="006D412F"/>
    <w:rsid w:val="006F28FA"/>
    <w:rsid w:val="00704FA0"/>
    <w:rsid w:val="00711FDC"/>
    <w:rsid w:val="00733135"/>
    <w:rsid w:val="007B0A3A"/>
    <w:rsid w:val="007B7B44"/>
    <w:rsid w:val="007E1B3E"/>
    <w:rsid w:val="00866764"/>
    <w:rsid w:val="00886FC5"/>
    <w:rsid w:val="00893AA2"/>
    <w:rsid w:val="008A17BF"/>
    <w:rsid w:val="008B45AC"/>
    <w:rsid w:val="008C2BDF"/>
    <w:rsid w:val="008F4178"/>
    <w:rsid w:val="008F46B4"/>
    <w:rsid w:val="00956BC5"/>
    <w:rsid w:val="0096418F"/>
    <w:rsid w:val="00974716"/>
    <w:rsid w:val="009A5CB2"/>
    <w:rsid w:val="009C31B1"/>
    <w:rsid w:val="009D7D7E"/>
    <w:rsid w:val="00A21323"/>
    <w:rsid w:val="00A2586A"/>
    <w:rsid w:val="00AA068F"/>
    <w:rsid w:val="00AA2118"/>
    <w:rsid w:val="00AC7466"/>
    <w:rsid w:val="00AD2377"/>
    <w:rsid w:val="00AE1397"/>
    <w:rsid w:val="00AF26FE"/>
    <w:rsid w:val="00AF65CA"/>
    <w:rsid w:val="00B10C38"/>
    <w:rsid w:val="00B767BB"/>
    <w:rsid w:val="00BB392A"/>
    <w:rsid w:val="00BC7229"/>
    <w:rsid w:val="00BE6B0A"/>
    <w:rsid w:val="00C05655"/>
    <w:rsid w:val="00CA7352"/>
    <w:rsid w:val="00CB11E1"/>
    <w:rsid w:val="00D12256"/>
    <w:rsid w:val="00DD326C"/>
    <w:rsid w:val="00DF1286"/>
    <w:rsid w:val="00E30A20"/>
    <w:rsid w:val="00EA75D5"/>
    <w:rsid w:val="00F75E48"/>
    <w:rsid w:val="00F80344"/>
    <w:rsid w:val="00FC1966"/>
    <w:rsid w:val="00FC44EC"/>
    <w:rsid w:val="00FE1CA3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7BFCDF9C2564FA1BD7D6F06431818" ma:contentTypeVersion="1" ma:contentTypeDescription="Create a new document." ma:contentTypeScope="" ma:versionID="84f0fa1e7823e8084155f68040c454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E8528F-C231-4360-84A8-E60576F2CFA4}"/>
</file>

<file path=customXml/itemProps2.xml><?xml version="1.0" encoding="utf-8"?>
<ds:datastoreItem xmlns:ds="http://schemas.openxmlformats.org/officeDocument/2006/customXml" ds:itemID="{25C8547A-30BB-4DB6-8F94-193C1E685752}"/>
</file>

<file path=customXml/itemProps3.xml><?xml version="1.0" encoding="utf-8"?>
<ds:datastoreItem xmlns:ds="http://schemas.openxmlformats.org/officeDocument/2006/customXml" ds:itemID="{DEF4ACAD-9F4C-4122-B970-59E122577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Microchip Technology Inc.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Microchip</dc:creator>
  <cp:lastModifiedBy>Deanna Carrera</cp:lastModifiedBy>
  <cp:revision>5</cp:revision>
  <cp:lastPrinted>2015-10-27T18:44:00Z</cp:lastPrinted>
  <dcterms:created xsi:type="dcterms:W3CDTF">2016-09-07T19:17:00Z</dcterms:created>
  <dcterms:modified xsi:type="dcterms:W3CDTF">2016-09-08T18:59:00Z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0x0101002187BFCDF9C2564FA1BD7D6F06431818</vt:lpwstr>
  </property>
</Properties>
</file>